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0"/>
        <w:jc w:val="center"/>
      </w:pPr>
      <w:r>
        <w:rPr>
          <w:sz w:val="30"/>
        </w:rPr>
        <w:t>葫芦岛银行“金葫芦”宏信118非保本浮动收益型人民币理财产品发行公告</w:t>
      </w:r>
    </w:p>
    <w:p>
      <w:pPr>
        <w:spacing w:after="0"/>
        <w:jc w:val="center"/>
      </w:pPr>
      <w:r>
        <w:t>发布时间：2018年12月18日</w:t>
      </w:r>
    </w:p>
    <w:p>
      <w:pPr>
        <w:spacing w:line="390" w:lineRule="exact" w:after="0"/>
      </w:pPr>
    </w:p>
    <w:p>
      <w:pPr>
        <w:spacing w:line="390" w:lineRule="exact" w:after="0"/>
        <w:ind w:firstLine="482"/>
      </w:pPr>
      <w:r>
        <w:t>葫芦岛银行“金葫芦”宏信118非保本浮动收益型人民币理财产品说明书.doc</w:t>
      </w:r>
    </w:p>
    <w:p>
      <w:pPr>
        <w:spacing w:line="390" w:lineRule="exact" w:after="0"/>
        <w:ind w:firstLine="482"/>
      </w:pPr>
      <w:r>
        <w:t>葫芦岛银行“金葫芦”宏信118非保本浮动收益型人民币理财产品风险揭示书.doc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Microsoft YaHei" w:hAnsi="Microsoft YaHei" w:eastAsia="Microsoft YaHei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